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Argentina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Que vamos a hacer</w:t>
            </w:r>
          </w:p>
        </w:tc>
      </w:tr>
    </w:tbl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1944" w:hanging="194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134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77"/>
        <w:gridCol w:w="7957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7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rtl w:val="0"/>
                <w:lang w:val="en-US"/>
              </w:rPr>
              <w:t>No school - President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rtl w:val="0"/>
                <w:lang w:val="en-US"/>
              </w:rPr>
              <w:t>s Day</w:t>
            </w:r>
          </w:p>
        </w:tc>
      </w:tr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7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  <w:rPr>
                <w:lang w:val="en-US"/>
              </w:rPr>
            </w:pPr>
            <w:r>
              <w:rPr>
                <w:rtl w:val="0"/>
                <w:lang w:val="en-US"/>
              </w:rPr>
              <w:t>Quizlet live using reflexive verb definitions for review for tomorrow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quiz. </w:t>
            </w:r>
          </w:p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tl w:val="0"/>
                <w:lang w:val="en-US"/>
              </w:rPr>
              <w:t>Students will begin working on daily routines project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7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Quiz on reflexive verb meanings. Continue working on daily routines booklet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7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Review use of reflexive verbs in sentences for quiz on Eng to Span translation of reflexive verbs.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7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Quiz on reflexive verbs from Eng to Span. Introduce present progressive. Start with review of estar followed by addition of the present participle.</w:t>
            </w:r>
          </w:p>
        </w:tc>
      </w:tr>
    </w:tbl>
    <w:p>
      <w:pPr>
        <w:pStyle w:val="Body A"/>
        <w:widowControl w:val="0"/>
        <w:ind w:left="1944" w:hanging="194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20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n/a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1944" w:hanging="1944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